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rFonts w:ascii="Arial" w:cs="Arial" w:eastAsia="Arial" w:hAnsi="Arial"/>
          <w:b w:val="1"/>
          <w:sz w:val="24"/>
          <w:szCs w:val="24"/>
        </w:rPr>
      </w:pPr>
      <w:r w:rsidDel="00000000" w:rsidR="00000000" w:rsidRPr="00000000">
        <w:rPr>
          <w:rtl w:val="0"/>
        </w:rPr>
      </w:r>
    </w:p>
    <w:tbl>
      <w:tblPr>
        <w:tblStyle w:val="Table1"/>
        <w:tblW w:w="10917.40157480315"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8787.40157480315"/>
        <w:tblGridChange w:id="0">
          <w:tblGrid>
            <w:gridCol w:w="2130"/>
            <w:gridCol w:w="8787.4015748031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Literacy</w:t>
            </w:r>
          </w:p>
          <w:p w:rsidR="00000000" w:rsidDel="00000000" w:rsidP="00000000" w:rsidRDefault="00000000" w:rsidRPr="00000000" w14:paraId="00000005">
            <w:pPr>
              <w:widowControl w:val="0"/>
              <w:spacing w:before="0" w:line="240" w:lineRule="auto"/>
              <w:rPr>
                <w:rFonts w:ascii="Arial" w:cs="Arial" w:eastAsia="Arial" w:hAnsi="Arial"/>
                <w:sz w:val="24"/>
                <w:szCs w:val="24"/>
              </w:rPr>
            </w:pPr>
            <w:r w:rsidDel="00000000" w:rsidR="00000000" w:rsidRPr="00000000">
              <w:rPr>
                <w:rtl w:val="0"/>
              </w:rPr>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NEECA the curriculum has been designed with Literacy at its core.  It is our intention that all students, regardless of their starting points, will become readers that are fluent and skilled. We believe that we can make a huge difference to our students’ futures by developing their reading ability and we have a range of literacy intervention programmes to support this.</w:t>
            </w:r>
          </w:p>
          <w:p w:rsidR="00000000" w:rsidDel="00000000" w:rsidP="00000000" w:rsidRDefault="00000000" w:rsidRPr="00000000" w14:paraId="00000008">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 our bespoke curriculum and variety of intervention programmes, as well as ‘a golden thread of kindness’ in all that we do, we aim to:</w:t>
            </w:r>
          </w:p>
          <w:p w:rsidR="00000000" w:rsidDel="00000000" w:rsidP="00000000" w:rsidRDefault="00000000" w:rsidRPr="00000000" w14:paraId="0000000B">
            <w:pPr>
              <w:widowControl w:val="0"/>
              <w:numPr>
                <w:ilvl w:val="0"/>
                <w:numId w:val="2"/>
              </w:numPr>
              <w:spacing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Instil students to express themselves clearly and articulately using appropriate vocabulary</w:t>
            </w:r>
          </w:p>
          <w:p w:rsidR="00000000" w:rsidDel="00000000" w:rsidP="00000000" w:rsidRDefault="00000000" w:rsidRPr="00000000" w14:paraId="0000000C">
            <w:pPr>
              <w:widowControl w:val="0"/>
              <w:numPr>
                <w:ilvl w:val="0"/>
                <w:numId w:val="2"/>
              </w:numPr>
              <w:spacing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 able to use word recognition and decoding skills effectively to improve reading skills</w:t>
            </w:r>
          </w:p>
          <w:p w:rsidR="00000000" w:rsidDel="00000000" w:rsidP="00000000" w:rsidRDefault="00000000" w:rsidRPr="00000000" w14:paraId="0000000D">
            <w:pPr>
              <w:widowControl w:val="0"/>
              <w:numPr>
                <w:ilvl w:val="0"/>
                <w:numId w:val="2"/>
              </w:numPr>
              <w:spacing w:before="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Understand and critique what they read securely through language comprehension skills</w:t>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Literacy is led and overseen by the Literacy Coordinator and SLT. It is regularly analysed, monitored and evaluated through the Quality of Education  review process. </w:t>
            </w:r>
          </w:p>
          <w:p w:rsidR="00000000" w:rsidDel="00000000" w:rsidP="00000000" w:rsidRDefault="00000000" w:rsidRPr="00000000" w14:paraId="00000010">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Upon arrival the student is met by the Literacy Coordinator who is in charge of the induction process for English and Literacy Across the Curriculum. The student is tested using Literacy Assessment Online and a baseline paper. The data from this is collated and if required, the student is placed onto an Intervention Programme according to their specific need. This could be Literacy Catch Up Programme, Thinking Reading Programme, Reading Plus, or Phonics Reading Intervention Programme. The data and information is also shared with all teaching staff to allow them to plan and support them in lessons.</w:t>
            </w:r>
          </w:p>
          <w:p w:rsidR="00000000" w:rsidDel="00000000" w:rsidP="00000000" w:rsidRDefault="00000000" w:rsidRPr="00000000" w14:paraId="00000012">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During the Quality of Education Reviews the Literacy Coordinator will check students’ books in all subject areas to ensure their work is marked according to the Literacy Policy Criteria.</w:t>
            </w:r>
          </w:p>
          <w:p w:rsidR="00000000" w:rsidDel="00000000" w:rsidP="00000000" w:rsidRDefault="00000000" w:rsidRPr="00000000" w14:paraId="00000014">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Key Stage Three students are expected to read to our school dog ‘Bella’ and a member of SLT once a week in the library for ten minutes. This gives the students the opportunity to appreciate the library resource space, develop their fluency and expression skills  when reading and reflect upon their reading capabilities with the Headteacher.</w:t>
            </w:r>
          </w:p>
          <w:p w:rsidR="00000000" w:rsidDel="00000000" w:rsidP="00000000" w:rsidRDefault="00000000" w:rsidRPr="00000000" w14:paraId="00000016">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are also delivered CPD by the Literacy Coordinator each half term which allows them to know how to:</w:t>
            </w:r>
          </w:p>
          <w:p w:rsidR="00000000" w:rsidDel="00000000" w:rsidP="00000000" w:rsidRDefault="00000000" w:rsidRPr="00000000" w14:paraId="00000017">
            <w:pPr>
              <w:widowControl w:val="0"/>
              <w:numPr>
                <w:ilvl w:val="0"/>
                <w:numId w:val="1"/>
              </w:numPr>
              <w:spacing w:before="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 students to read</w:t>
            </w:r>
          </w:p>
          <w:p w:rsidR="00000000" w:rsidDel="00000000" w:rsidP="00000000" w:rsidRDefault="00000000" w:rsidRPr="00000000" w14:paraId="00000018">
            <w:pPr>
              <w:widowControl w:val="0"/>
              <w:numPr>
                <w:ilvl w:val="0"/>
                <w:numId w:val="1"/>
              </w:numPr>
              <w:spacing w:before="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Embed reading within their curriculum areas</w:t>
            </w:r>
          </w:p>
          <w:p w:rsidR="00000000" w:rsidDel="00000000" w:rsidP="00000000" w:rsidRDefault="00000000" w:rsidRPr="00000000" w14:paraId="00000019">
            <w:pPr>
              <w:widowControl w:val="0"/>
              <w:numPr>
                <w:ilvl w:val="0"/>
                <w:numId w:val="1"/>
              </w:numPr>
              <w:spacing w:before="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Adapt teaching to tailor and meet the needs of their students</w:t>
            </w:r>
          </w:p>
          <w:p w:rsidR="00000000" w:rsidDel="00000000" w:rsidP="00000000" w:rsidRDefault="00000000" w:rsidRPr="00000000" w14:paraId="0000001A">
            <w:pPr>
              <w:widowControl w:val="0"/>
              <w:numPr>
                <w:ilvl w:val="0"/>
                <w:numId w:val="1"/>
              </w:numPr>
              <w:spacing w:before="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Understand how to mark for literacy</w:t>
            </w:r>
          </w:p>
          <w:p w:rsidR="00000000" w:rsidDel="00000000" w:rsidP="00000000" w:rsidRDefault="00000000" w:rsidRPr="00000000" w14:paraId="0000001B">
            <w:pPr>
              <w:widowControl w:val="0"/>
              <w:spacing w:before="0" w:line="240" w:lineRule="auto"/>
              <w:rPr>
                <w:rFonts w:ascii="Arial" w:cs="Arial" w:eastAsia="Arial" w:hAnsi="Arial"/>
                <w:sz w:val="24"/>
                <w:szCs w:val="24"/>
              </w:rPr>
            </w:pPr>
            <w:r w:rsidDel="00000000" w:rsidR="00000000" w:rsidRPr="00000000">
              <w:rPr>
                <w:rtl w:val="0"/>
              </w:rPr>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 the teaching of reading across the curriculum areas students access a wide range of reading material.  </w:t>
            </w:r>
          </w:p>
          <w:p w:rsidR="00000000" w:rsidDel="00000000" w:rsidP="00000000" w:rsidRDefault="00000000" w:rsidRPr="00000000" w14:paraId="0000001E">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Where a student has a reading intervention they are regularly monitored and adapted to maintain progress.</w:t>
            </w:r>
          </w:p>
          <w:p w:rsidR="00000000" w:rsidDel="00000000" w:rsidP="00000000" w:rsidRDefault="00000000" w:rsidRPr="00000000" w14:paraId="00000020">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Attainment is measured using data from Literacy Assessment Online  and Baseline results. </w:t>
            </w:r>
          </w:p>
          <w:p w:rsidR="00000000" w:rsidDel="00000000" w:rsidP="00000000" w:rsidRDefault="00000000" w:rsidRPr="00000000" w14:paraId="00000022">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firmly believe reading is the key to unlocking all learning opportunities. We instil this by sharing the goal with our students from their arrival at NEECA so they have an understanding of the opportunities that will open to them in their education and their future success. </w:t>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Accreditations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AQA Unit Award Scheme</w:t>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committed to safeguarding and promoting the wellbeing of all our students.  We ensure the content of all reading material is appropriate for each student.</w:t>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before="0" w:line="240" w:lineRule="auto"/>
              <w:rPr>
                <w:rFonts w:ascii="Arial" w:cs="Arial" w:eastAsia="Arial" w:hAnsi="Arial"/>
                <w:sz w:val="24"/>
                <w:szCs w:val="24"/>
              </w:rPr>
            </w:pPr>
            <w:r w:rsidDel="00000000" w:rsidR="00000000" w:rsidRPr="00000000">
              <w:rPr>
                <w:rtl w:val="0"/>
              </w:rPr>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Outline of Virtual Curriculum Offer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before="0" w:line="240" w:lineRule="auto"/>
              <w:rPr>
                <w:rFonts w:ascii="Arial" w:cs="Arial" w:eastAsia="Arial" w:hAnsi="Arial"/>
                <w:sz w:val="24"/>
                <w:szCs w:val="24"/>
              </w:rPr>
            </w:pPr>
            <w:r w:rsidDel="00000000" w:rsidR="00000000" w:rsidRPr="00000000">
              <w:rPr>
                <w:rtl w:val="0"/>
              </w:rPr>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0" w:line="240" w:lineRule="auto"/>
              <w:rPr>
                <w:rFonts w:ascii="Arial" w:cs="Arial" w:eastAsia="Arial" w:hAnsi="Arial"/>
                <w:sz w:val="24"/>
                <w:szCs w:val="24"/>
              </w:rPr>
            </w:pPr>
            <w:r w:rsidDel="00000000" w:rsidR="00000000" w:rsidRPr="00000000">
              <w:rPr>
                <w:rtl w:val="0"/>
              </w:rPr>
            </w:r>
          </w:p>
        </w:tc>
      </w:tr>
      <w:tr>
        <w:trPr>
          <w:cantSplit w:val="0"/>
          <w:trHeight w:val="2267.716535433071"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before="0" w:line="240" w:lineRule="auto"/>
              <w:jc w:val="center"/>
              <w:rPr>
                <w:rFonts w:ascii="Arial" w:cs="Arial" w:eastAsia="Arial" w:hAnsi="Arial"/>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widowControl w:val="0"/>
              <w:spacing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widowControl w:val="0"/>
              <w:spacing w:before="0" w:line="240" w:lineRule="auto"/>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sectPr>
          <w:headerReference r:id="rId6" w:type="default"/>
          <w:footerReference r:id="rId7" w:type="default"/>
          <w:pgSz w:h="16838" w:w="11906" w:orient="portrait"/>
          <w:pgMar w:bottom="1090.0393700787413" w:top="992.1259842519685" w:left="1440.0000000000002" w:right="1440.0000000000002" w:header="850.3937007874016" w:footer="1133.8582677165355"/>
          <w:pgNumType w:start="1"/>
        </w:sect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sectPr>
          <w:type w:val="nextPage"/>
          <w:pgSz w:h="16838" w:w="11906" w:orient="portrait"/>
          <w:pgMar w:bottom="1088.5039370078741" w:top="1088.5039370078741" w:left="1440.0000000000002" w:right="1440.0000000000002" w:header="850.3937007874016" w:footer="1133.8582677165355"/>
        </w:sect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type w:val="nextPage"/>
      <w:pgSz w:h="16838" w:w="11906" w:orient="portrait"/>
      <w:pgMar w:bottom="1090.0393700787413" w:top="1440.0000000000002" w:left="1440.0000000000002" w:right="1440.0000000000002" w:header="850.3937007874016" w:footer="1133.8582677165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widowControl w:val="0"/>
      <w:spacing w:before="0" w:line="240" w:lineRule="auto"/>
      <w:rPr/>
    </w:pPr>
    <w:r w:rsidDel="00000000" w:rsidR="00000000" w:rsidRPr="00000000">
      <w:rPr>
        <w:rtl w:val="0"/>
      </w:rPr>
    </w:r>
    <w:r w:rsidDel="00000000" w:rsidR="00000000" w:rsidRPr="00000000">
      <mc:AlternateContent>
        <mc:Choice Requires="wpg">
          <w:drawing>
            <wp:anchor allowOverlap="1" behindDoc="0" distB="0" distT="114300" distL="114300" distR="114300" hidden="0" layoutInCell="1" locked="0" relativeHeight="0" simplePos="0">
              <wp:simplePos x="0" y="0"/>
              <wp:positionH relativeFrom="column">
                <wp:posOffset>-895349</wp:posOffset>
              </wp:positionH>
              <wp:positionV relativeFrom="paragraph">
                <wp:posOffset>114300</wp:posOffset>
              </wp:positionV>
              <wp:extent cx="7562850" cy="794717"/>
              <wp:effectExtent b="0" l="0" r="0" t="0"/>
              <wp:wrapNone/>
              <wp:docPr id="2" name=""/>
              <a:graphic>
                <a:graphicData uri="http://schemas.microsoft.com/office/word/2010/wordprocessingGroup">
                  <wpg:wgp>
                    <wpg:cNvGrpSpPr/>
                    <wpg:grpSpPr>
                      <a:xfrm>
                        <a:off x="725400" y="2507250"/>
                        <a:ext cx="7562850" cy="794717"/>
                        <a:chOff x="725400" y="2507250"/>
                        <a:chExt cx="6894600" cy="1305900"/>
                      </a:xfrm>
                    </wpg:grpSpPr>
                    <wps:wsp>
                      <wps:cNvSpPr/>
                      <wps:cNvPr id="3" name="Shape 3"/>
                      <wps:spPr>
                        <a:xfrm>
                          <a:off x="725400" y="3401550"/>
                          <a:ext cx="6894600" cy="411600"/>
                        </a:xfrm>
                        <a:prstGeom prst="rect">
                          <a:avLst/>
                        </a:prstGeom>
                        <a:solidFill>
                          <a:srgbClr val="15A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25400" y="2507250"/>
                          <a:ext cx="1401900" cy="970500"/>
                        </a:xfrm>
                        <a:prstGeom prst="rtTriangle">
                          <a:avLst/>
                        </a:prstGeom>
                        <a:solidFill>
                          <a:srgbClr val="15A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wgp>
                </a:graphicData>
              </a:graphic>
            </wp:anchor>
          </w:drawing>
        </mc:Choice>
        <mc:Fallback>
          <w:drawing>
            <wp:anchor allowOverlap="1" behindDoc="0" distB="0" distT="114300" distL="114300" distR="114300" hidden="0" layoutInCell="1" locked="0" relativeHeight="0" simplePos="0">
              <wp:simplePos x="0" y="0"/>
              <wp:positionH relativeFrom="column">
                <wp:posOffset>-895349</wp:posOffset>
              </wp:positionH>
              <wp:positionV relativeFrom="paragraph">
                <wp:posOffset>114300</wp:posOffset>
              </wp:positionV>
              <wp:extent cx="7562850" cy="794717"/>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62850" cy="79471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center"/>
      <w:rPr>
        <w:rFonts w:ascii="Arial" w:cs="Arial" w:eastAsia="Arial" w:hAnsi="Arial"/>
        <w:b w:val="1"/>
        <w:sz w:val="26"/>
        <w:szCs w:val="26"/>
      </w:rPr>
    </w:pPr>
    <w:r w:rsidDel="00000000" w:rsidR="00000000" w:rsidRPr="00000000">
      <w:rPr>
        <w:rtl w:val="0"/>
      </w:rPr>
      <w:tab/>
      <w:tab/>
    </w:r>
    <w:r w:rsidDel="00000000" w:rsidR="00000000" w:rsidRPr="00000000">
      <w:rPr>
        <w:b w:val="1"/>
        <w:sz w:val="24"/>
        <w:szCs w:val="24"/>
        <w:rtl w:val="0"/>
      </w:rPr>
      <w:t xml:space="preserve">Literacy 2023-2024</w:t>
    </w:r>
    <w:r w:rsidDel="00000000" w:rsidR="00000000" w:rsidRPr="00000000">
      <w:rPr>
        <w:rtl w:val="0"/>
      </w:rPr>
    </w:r>
    <w:r w:rsidDel="00000000" w:rsidR="00000000" w:rsidRPr="00000000">
      <w:drawing>
        <wp:anchor allowOverlap="1" behindDoc="0" distB="114300" distT="0" distL="114300" distR="114300" hidden="0" layoutInCell="1" locked="0" relativeHeight="0" simplePos="0">
          <wp:simplePos x="0" y="0"/>
          <wp:positionH relativeFrom="column">
            <wp:posOffset>-895349</wp:posOffset>
          </wp:positionH>
          <wp:positionV relativeFrom="paragraph">
            <wp:posOffset>-457199</wp:posOffset>
          </wp:positionV>
          <wp:extent cx="2243322" cy="1138238"/>
          <wp:effectExtent b="0" l="0" r="0" t="0"/>
          <wp:wrapNone/>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43322" cy="1138238"/>
                  </a:xfrm>
                  <a:prstGeom prst="rect"/>
                  <a:ln/>
                </pic:spPr>
              </pic:pic>
            </a:graphicData>
          </a:graphic>
        </wp:anchor>
      </w:drawing>
    </w:r>
    <w:r w:rsidDel="00000000" w:rsidR="00000000" w:rsidRPr="00000000">
      <mc:AlternateContent>
        <mc:Choice Requires="wpg">
          <w:drawing>
            <wp:anchor allowOverlap="1" behindDoc="0" distB="114300" distT="0" distL="114300" distR="114300" hidden="0" layoutInCell="1" locked="0" relativeHeight="0" simplePos="0">
              <wp:simplePos x="0" y="0"/>
              <wp:positionH relativeFrom="column">
                <wp:posOffset>5210175</wp:posOffset>
              </wp:positionH>
              <wp:positionV relativeFrom="paragraph">
                <wp:posOffset>-533399</wp:posOffset>
              </wp:positionV>
              <wp:extent cx="1452563" cy="904875"/>
              <wp:effectExtent b="0" l="0" r="0" t="0"/>
              <wp:wrapSquare wrapText="bothSides" distB="114300" distT="0" distL="114300" distR="114300"/>
              <wp:docPr id="1" name=""/>
              <a:graphic>
                <a:graphicData uri="http://schemas.microsoft.com/office/word/2010/wordprocessingShape">
                  <wps:wsp>
                    <wps:cNvSpPr/>
                    <wps:cNvPr id="2" name="Shape 2"/>
                    <wps:spPr>
                      <a:xfrm rot="10800000">
                        <a:off x="2538925" y="1646725"/>
                        <a:ext cx="1480200" cy="941100"/>
                      </a:xfrm>
                      <a:prstGeom prst="rtTriangle">
                        <a:avLst/>
                      </a:prstGeom>
                      <a:solidFill>
                        <a:srgbClr val="15A08C"/>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0" distL="114300" distR="114300" hidden="0" layoutInCell="1" locked="0" relativeHeight="0" simplePos="0">
              <wp:simplePos x="0" y="0"/>
              <wp:positionH relativeFrom="column">
                <wp:posOffset>5210175</wp:posOffset>
              </wp:positionH>
              <wp:positionV relativeFrom="paragraph">
                <wp:posOffset>-533399</wp:posOffset>
              </wp:positionV>
              <wp:extent cx="1452563" cy="904875"/>
              <wp:effectExtent b="0" l="0" r="0" t="0"/>
              <wp:wrapSquare wrapText="bothSides" distB="11430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52563" cy="904875"/>
                      </a:xfrm>
                      <a:prstGeom prst="rect"/>
                      <a:ln/>
                    </pic:spPr>
                  </pic:pic>
                </a:graphicData>
              </a:graphic>
            </wp:anchor>
          </w:drawing>
        </mc:Fallback>
      </mc:AlternateContent>
    </w:r>
  </w:p>
  <w:p w:rsidR="00000000" w:rsidDel="00000000" w:rsidP="00000000" w:rsidRDefault="00000000" w:rsidRPr="00000000" w14:paraId="0000005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_GB"/>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pageBreakBefore w:val="0"/>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ageBreakBefore w:val="0"/>
    </w:pPr>
    <w:rPr>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pageBreakBefore w:val="0"/>
      <w:spacing w:before="120" w:lineRule="auto"/>
    </w:pPr>
    <w:rPr>
      <w:color w:val="40404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